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1E7E34"/>
        </w:rPr>
        <w:t>AgroHub — Service Level Agreement</w:t>
      </w:r>
    </w:p>
    <w:p>
      <w:r>
        <w:rPr>
          <w:color w:val="888888"/>
          <w:sz w:val="16"/>
        </w:rPr>
        <w:t>Version 1.0 · July 2026 · agrohub.pk · This document is incorporated by reference into AgroHub agreements.</w:t>
      </w:r>
    </w:p>
    <w:p>
      <w:pPr>
        <w:pStyle w:val="Heading1"/>
      </w:pPr>
      <w:r>
        <w:t>1. Overview</w:t>
      </w:r>
    </w:p>
    <w:p>
      <w:r>
        <w:t>This Service Level Agreement (“SLA”) defines the availability, support, and performance commitments AgroHub provides for its production services — the AgroHub platform, the Data Intelligence API, and its webhook and event delivery. It applies to internal teams, integrated partners, and external consumers who have been assigned a service tier.</w:t>
      </w:r>
    </w:p>
    <w:p>
      <w:r>
        <w:t>This SLA operates alongside the AgroHub Integration Policy and any partner agreement, integration annex, or order form. Where a partner agreement specifies different terms, that agreement prevails for the affected service.</w:t>
      </w:r>
    </w:p>
    <w:p>
      <w:r>
        <w:t>Note: Several AgroHub flows depend on partner services that act as conditional gates (see the Integration Policy). Where a third-party partner is on the critical path, that partner’s own SLA governs its uptime; AgroHub’s commitments here are measured net of partner-caused unavailability (Section 8).</w:t>
      </w:r>
    </w:p>
    <w:p>
      <w:pPr>
        <w:pStyle w:val="Heading1"/>
      </w:pPr>
      <w:r>
        <w:t>2. Service Tiers</w:t>
      </w:r>
    </w:p>
    <w:p>
      <w:r>
        <w:t>AgroHub offers three tiers. Each consumer or integration is assigned a tier, which determines the commitments below.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Tier</w:t>
            </w:r>
          </w:p>
        </w:tc>
        <w:tc>
          <w:tcPr>
            <w:tcW w:type="dxa" w:w="2880"/>
          </w:tcPr>
          <w:p>
            <w:r>
              <w:t>Typical Consumer</w:t>
            </w:r>
          </w:p>
        </w:tc>
        <w:tc>
          <w:tcPr>
            <w:tcW w:type="dxa" w:w="2880"/>
          </w:tcPr>
          <w:p>
            <w:r>
              <w:t>Summary</w:t>
            </w:r>
          </w:p>
        </w:tc>
      </w:tr>
      <w:tr>
        <w:tc>
          <w:tcPr>
            <w:tcW w:type="dxa" w:w="2880"/>
          </w:tcPr>
          <w:p>
            <w:r>
              <w:t>Basic</w:t>
            </w:r>
          </w:p>
        </w:tc>
        <w:tc>
          <w:tcPr>
            <w:tcW w:type="dxa" w:w="2880"/>
          </w:tcPr>
          <w:p>
            <w:r>
              <w:t>Sandbox, pilot, and non-critical internal use.</w:t>
            </w:r>
          </w:p>
        </w:tc>
        <w:tc>
          <w:tcPr>
            <w:tcW w:type="dxa" w:w="2880"/>
          </w:tcPr>
          <w:p>
            <w:r>
              <w:t>Best-effort support, business-hours coverage.</w:t>
            </w:r>
          </w:p>
        </w:tc>
      </w:tr>
      <w:tr>
        <w:tc>
          <w:tcPr>
            <w:tcW w:type="dxa" w:w="2880"/>
          </w:tcPr>
          <w:p>
            <w:r>
              <w:t>Standard</w:t>
            </w:r>
          </w:p>
        </w:tc>
        <w:tc>
          <w:tcPr>
            <w:tcW w:type="dxa" w:w="2880"/>
          </w:tcPr>
          <w:p>
            <w:r>
              <w:t>Integrated partners and production business workloads.</w:t>
            </w:r>
          </w:p>
        </w:tc>
        <w:tc>
          <w:tcPr>
            <w:tcW w:type="dxa" w:w="2880"/>
          </w:tcPr>
          <w:p>
            <w:r>
              <w:t>99.9% uptime, priority support, defined response times.</w:t>
            </w:r>
          </w:p>
        </w:tc>
      </w:tr>
      <w:tr>
        <w:tc>
          <w:tcPr>
            <w:tcW w:type="dxa" w:w="2880"/>
          </w:tcPr>
          <w:p>
            <w:r>
              <w:t>Premium</w:t>
            </w:r>
          </w:p>
        </w:tc>
        <w:tc>
          <w:tcPr>
            <w:tcW w:type="dxa" w:w="2880"/>
          </w:tcPr>
          <w:p>
            <w:r>
              <w:t>Strategic partners, financiers, and mission-critical flows.</w:t>
            </w:r>
          </w:p>
        </w:tc>
        <w:tc>
          <w:tcPr>
            <w:tcW w:type="dxa" w:w="2880"/>
          </w:tcPr>
          <w:p>
            <w:r>
              <w:t>99.99% uptime, 24/7 support, fastest response and resolution.</w:t>
            </w:r>
          </w:p>
        </w:tc>
      </w:tr>
    </w:tbl>
    <w:p>
      <w:pPr>
        <w:pStyle w:val="Heading1"/>
      </w:pPr>
      <w:r>
        <w:t>3. Availability Commitment</w:t>
      </w:r>
    </w:p>
    <w:p>
      <w:r>
        <w:t>Availability is the percentage of time in a calendar month that the covered service is operational, excluding Scheduled Maintenance and the Exclusions in Section 8.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Tier</w:t>
            </w:r>
          </w:p>
        </w:tc>
        <w:tc>
          <w:tcPr>
            <w:tcW w:type="dxa" w:w="2160"/>
          </w:tcPr>
          <w:p>
            <w:r>
              <w:t>Monthly Uptime</w:t>
            </w:r>
          </w:p>
        </w:tc>
        <w:tc>
          <w:tcPr>
            <w:tcW w:type="dxa" w:w="2160"/>
          </w:tcPr>
          <w:p>
            <w:r>
              <w:t>Max Downtime / Month</w:t>
            </w:r>
          </w:p>
        </w:tc>
        <w:tc>
          <w:tcPr>
            <w:tcW w:type="dxa" w:w="2160"/>
          </w:tcPr>
          <w:p>
            <w:r>
              <w:t>Measurement</w:t>
            </w:r>
          </w:p>
        </w:tc>
      </w:tr>
      <w:tr>
        <w:tc>
          <w:tcPr>
            <w:tcW w:type="dxa" w:w="2160"/>
          </w:tcPr>
          <w:p>
            <w:r>
              <w:t>Basic</w:t>
            </w:r>
          </w:p>
        </w:tc>
        <w:tc>
          <w:tcPr>
            <w:tcW w:type="dxa" w:w="2160"/>
          </w:tcPr>
          <w:p>
            <w:r>
              <w:t>99.0%</w:t>
            </w:r>
          </w:p>
        </w:tc>
        <w:tc>
          <w:tcPr>
            <w:tcW w:type="dxa" w:w="2160"/>
          </w:tcPr>
          <w:p>
            <w:r>
              <w:t>≈ 7h 18m</w:t>
            </w:r>
          </w:p>
        </w:tc>
        <w:tc>
          <w:tcPr>
            <w:tcW w:type="dxa" w:w="2160"/>
          </w:tcPr>
          <w:p>
            <w:r>
              <w:t>Best-effort; not credit-bearing.</w:t>
            </w:r>
          </w:p>
        </w:tc>
      </w:tr>
      <w:tr>
        <w:tc>
          <w:tcPr>
            <w:tcW w:type="dxa" w:w="2160"/>
          </w:tcPr>
          <w:p>
            <w:r>
              <w:t>Standard</w:t>
            </w:r>
          </w:p>
        </w:tc>
        <w:tc>
          <w:tcPr>
            <w:tcW w:type="dxa" w:w="2160"/>
          </w:tcPr>
          <w:p>
            <w:r>
              <w:t>99.9%</w:t>
            </w:r>
          </w:p>
        </w:tc>
        <w:tc>
          <w:tcPr>
            <w:tcW w:type="dxa" w:w="2160"/>
          </w:tcPr>
          <w:p>
            <w:r>
              <w:t>≈ 43m</w:t>
            </w:r>
          </w:p>
        </w:tc>
        <w:tc>
          <w:tcPr>
            <w:tcW w:type="dxa" w:w="2160"/>
          </w:tcPr>
          <w:p>
            <w:r>
              <w:t>Monthly, calendar month.</w:t>
            </w:r>
          </w:p>
        </w:tc>
      </w:tr>
      <w:tr>
        <w:tc>
          <w:tcPr>
            <w:tcW w:type="dxa" w:w="2160"/>
          </w:tcPr>
          <w:p>
            <w:r>
              <w:t>Premium</w:t>
            </w:r>
          </w:p>
        </w:tc>
        <w:tc>
          <w:tcPr>
            <w:tcW w:type="dxa" w:w="2160"/>
          </w:tcPr>
          <w:p>
            <w:r>
              <w:t>99.99%</w:t>
            </w:r>
          </w:p>
        </w:tc>
        <w:tc>
          <w:tcPr>
            <w:tcW w:type="dxa" w:w="2160"/>
          </w:tcPr>
          <w:p>
            <w:r>
              <w:t>≈ 4m 23s</w:t>
            </w:r>
          </w:p>
        </w:tc>
        <w:tc>
          <w:tcPr>
            <w:tcW w:type="dxa" w:w="2160"/>
          </w:tcPr>
          <w:p>
            <w:r>
              <w:t>Monthly, calendar month.</w:t>
            </w:r>
          </w:p>
        </w:tc>
      </w:tr>
    </w:tbl>
    <w:p>
      <w:r>
        <w:t>Uptime = (Total Minutes − Excluded Minutes − Downtime Minutes) ÷ (Total Minutes − Excluded Minutes) × 100. “Downtime” means a period in which the covered service is unavailable or fails all authenticated requests.</w:t>
      </w:r>
    </w:p>
    <w:p>
      <w:pPr>
        <w:pStyle w:val="Heading1"/>
      </w:pPr>
      <w:r>
        <w:t>4. Support and Incident Response</w:t>
      </w:r>
    </w:p>
    <w:p>
      <w:pPr>
        <w:pStyle w:val="Heading2"/>
      </w:pPr>
      <w:r>
        <w:t>4.1 Severity Definitions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Severity</w:t>
            </w:r>
          </w:p>
        </w:tc>
        <w:tc>
          <w:tcPr>
            <w:tcW w:type="dxa" w:w="2880"/>
          </w:tcPr>
          <w:p>
            <w:r>
              <w:t>Definition</w:t>
            </w:r>
          </w:p>
        </w:tc>
        <w:tc>
          <w:tcPr>
            <w:tcW w:type="dxa" w:w="2880"/>
          </w:tcPr>
          <w:p>
            <w:r>
              <w:t>Example</w:t>
            </w:r>
          </w:p>
        </w:tc>
      </w:tr>
      <w:tr>
        <w:tc>
          <w:tcPr>
            <w:tcW w:type="dxa" w:w="2880"/>
          </w:tcPr>
          <w:p>
            <w:r>
              <w:t>P1 — Critical</w:t>
            </w:r>
          </w:p>
        </w:tc>
        <w:tc>
          <w:tcPr>
            <w:tcW w:type="dxa" w:w="2880"/>
          </w:tcPr>
          <w:p>
            <w:r>
              <w:t>Service down or a conditional gate failing; material trade or settlement impact; no workaround.</w:t>
            </w:r>
          </w:p>
        </w:tc>
        <w:tc>
          <w:tcPr>
            <w:tcW w:type="dxa" w:w="2880"/>
          </w:tcPr>
          <w:p>
            <w:r>
              <w:t>Booking gate or Data Intelligence API fully unavailable.</w:t>
            </w:r>
          </w:p>
        </w:tc>
      </w:tr>
      <w:tr>
        <w:tc>
          <w:tcPr>
            <w:tcW w:type="dxa" w:w="2880"/>
          </w:tcPr>
          <w:p>
            <w:r>
              <w:t>P2 — High</w:t>
            </w:r>
          </w:p>
        </w:tc>
        <w:tc>
          <w:tcPr>
            <w:tcW w:type="dxa" w:w="2880"/>
          </w:tcPr>
          <w:p>
            <w:r>
              <w:t>Major function impaired or severely degraded; limited workaround.</w:t>
            </w:r>
          </w:p>
        </w:tc>
        <w:tc>
          <w:tcPr>
            <w:tcW w:type="dxa" w:w="2880"/>
          </w:tcPr>
          <w:p>
            <w:r>
              <w:t>Elevated error rate; webhook delivery badly delayed.</w:t>
            </w:r>
          </w:p>
        </w:tc>
      </w:tr>
      <w:tr>
        <w:tc>
          <w:tcPr>
            <w:tcW w:type="dxa" w:w="2880"/>
          </w:tcPr>
          <w:p>
            <w:r>
              <w:t>P3 — Medium</w:t>
            </w:r>
          </w:p>
        </w:tc>
        <w:tc>
          <w:tcPr>
            <w:tcW w:type="dxa" w:w="2880"/>
          </w:tcPr>
          <w:p>
            <w:r>
              <w:t>Minor function impaired; reasonable workaround exists.</w:t>
            </w:r>
          </w:p>
        </w:tc>
        <w:tc>
          <w:tcPr>
            <w:tcW w:type="dxa" w:w="2880"/>
          </w:tcPr>
          <w:p>
            <w:r>
              <w:t>Non-blocking defect; degraded non-critical endpoint.</w:t>
            </w:r>
          </w:p>
        </w:tc>
      </w:tr>
      <w:tr>
        <w:tc>
          <w:tcPr>
            <w:tcW w:type="dxa" w:w="2880"/>
          </w:tcPr>
          <w:p>
            <w:r>
              <w:t>P4 — Low</w:t>
            </w:r>
          </w:p>
        </w:tc>
        <w:tc>
          <w:tcPr>
            <w:tcW w:type="dxa" w:w="2880"/>
          </w:tcPr>
          <w:p>
            <w:r>
              <w:t>Question, cosmetic issue, or feature request.</w:t>
            </w:r>
          </w:p>
        </w:tc>
        <w:tc>
          <w:tcPr>
            <w:tcW w:type="dxa" w:w="2880"/>
          </w:tcPr>
          <w:p>
            <w:r>
              <w:t>Documentation query; UI cosmetic defect.</w:t>
            </w:r>
          </w:p>
        </w:tc>
      </w:tr>
    </w:tbl>
    <w:p>
      <w:pPr>
        <w:pStyle w:val="Heading2"/>
      </w:pPr>
      <w:r>
        <w:t>4.2 Support Coverage and Channels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Tier</w:t>
            </w:r>
          </w:p>
        </w:tc>
        <w:tc>
          <w:tcPr>
            <w:tcW w:type="dxa" w:w="2880"/>
          </w:tcPr>
          <w:p>
            <w:r>
              <w:t>Coverage Hours (PKT)</w:t>
            </w:r>
          </w:p>
        </w:tc>
        <w:tc>
          <w:tcPr>
            <w:tcW w:type="dxa" w:w="2880"/>
          </w:tcPr>
          <w:p>
            <w:r>
              <w:t>Channels</w:t>
            </w:r>
          </w:p>
        </w:tc>
      </w:tr>
      <w:tr>
        <w:tc>
          <w:tcPr>
            <w:tcW w:type="dxa" w:w="2880"/>
          </w:tcPr>
          <w:p>
            <w:r>
              <w:t>Basic</w:t>
            </w:r>
          </w:p>
        </w:tc>
        <w:tc>
          <w:tcPr>
            <w:tcW w:type="dxa" w:w="2880"/>
          </w:tcPr>
          <w:p>
            <w:r>
              <w:t>Business hours (Mon–Fri, 09:00–17:00).</w:t>
            </w:r>
          </w:p>
        </w:tc>
        <w:tc>
          <w:tcPr>
            <w:tcW w:type="dxa" w:w="2880"/>
          </w:tcPr>
          <w:p>
            <w:r>
              <w:t>Email, knowledge base.</w:t>
            </w:r>
          </w:p>
        </w:tc>
      </w:tr>
      <w:tr>
        <w:tc>
          <w:tcPr>
            <w:tcW w:type="dxa" w:w="2880"/>
          </w:tcPr>
          <w:p>
            <w:r>
              <w:t>Standard</w:t>
            </w:r>
          </w:p>
        </w:tc>
        <w:tc>
          <w:tcPr>
            <w:tcW w:type="dxa" w:w="2880"/>
          </w:tcPr>
          <w:p>
            <w:r>
              <w:t>Extended (Mon–Fri, 07:00–19:00) + P1 after-hours.</w:t>
            </w:r>
          </w:p>
        </w:tc>
        <w:tc>
          <w:tcPr>
            <w:tcW w:type="dxa" w:w="2880"/>
          </w:tcPr>
          <w:p>
            <w:r>
              <w:t>Email, portal, phone for P1.</w:t>
            </w:r>
          </w:p>
        </w:tc>
      </w:tr>
      <w:tr>
        <w:tc>
          <w:tcPr>
            <w:tcW w:type="dxa" w:w="2880"/>
          </w:tcPr>
          <w:p>
            <w:r>
              <w:t>Premium</w:t>
            </w:r>
          </w:p>
        </w:tc>
        <w:tc>
          <w:tcPr>
            <w:tcW w:type="dxa" w:w="2880"/>
          </w:tcPr>
          <w:p>
            <w:r>
              <w:t>24 × 7 × 365 for all severities.</w:t>
            </w:r>
          </w:p>
        </w:tc>
        <w:tc>
          <w:tcPr>
            <w:tcW w:type="dxa" w:w="2880"/>
          </w:tcPr>
          <w:p>
            <w:r>
              <w:t>Email, portal, phone, dedicated channel, named contact.</w:t>
            </w:r>
          </w:p>
        </w:tc>
      </w:tr>
    </w:tbl>
    <w:p>
      <w:pPr>
        <w:pStyle w:val="Heading2"/>
      </w:pPr>
      <w:r>
        <w:t>4.3 Target Response Times</w:t>
      </w:r>
    </w:p>
    <w:p>
      <w:r>
        <w:t>“Response” means the time from a correctly submitted ticket to a substantive acknowledgement by an AgroHub engineer, measured within the tier’s coverage hours (24×7 for Premium).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Severity</w:t>
            </w:r>
          </w:p>
        </w:tc>
        <w:tc>
          <w:tcPr>
            <w:tcW w:type="dxa" w:w="2160"/>
          </w:tcPr>
          <w:p>
            <w:r>
              <w:t>Basic</w:t>
            </w:r>
          </w:p>
        </w:tc>
        <w:tc>
          <w:tcPr>
            <w:tcW w:type="dxa" w:w="2160"/>
          </w:tcPr>
          <w:p>
            <w:r>
              <w:t>Standard</w:t>
            </w:r>
          </w:p>
        </w:tc>
        <w:tc>
          <w:tcPr>
            <w:tcW w:type="dxa" w:w="2160"/>
          </w:tcPr>
          <w:p>
            <w:r>
              <w:t>Premium</w:t>
            </w:r>
          </w:p>
        </w:tc>
      </w:tr>
      <w:tr>
        <w:tc>
          <w:tcPr>
            <w:tcW w:type="dxa" w:w="2160"/>
          </w:tcPr>
          <w:p>
            <w:r>
              <w:t>P1 — Critical</w:t>
            </w:r>
          </w:p>
        </w:tc>
        <w:tc>
          <w:tcPr>
            <w:tcW w:type="dxa" w:w="2160"/>
          </w:tcPr>
          <w:p>
            <w:r>
              <w:t>1 business day</w:t>
            </w:r>
          </w:p>
        </w:tc>
        <w:tc>
          <w:tcPr>
            <w:tcW w:type="dxa" w:w="2160"/>
          </w:tcPr>
          <w:p>
            <w:r>
              <w:t>1 hour</w:t>
            </w:r>
          </w:p>
        </w:tc>
        <w:tc>
          <w:tcPr>
            <w:tcW w:type="dxa" w:w="2160"/>
          </w:tcPr>
          <w:p>
            <w:r>
              <w:t>15 minutes</w:t>
            </w:r>
          </w:p>
        </w:tc>
      </w:tr>
      <w:tr>
        <w:tc>
          <w:tcPr>
            <w:tcW w:type="dxa" w:w="2160"/>
          </w:tcPr>
          <w:p>
            <w:r>
              <w:t>P2 — High</w:t>
            </w:r>
          </w:p>
        </w:tc>
        <w:tc>
          <w:tcPr>
            <w:tcW w:type="dxa" w:w="2160"/>
          </w:tcPr>
          <w:p>
            <w:r>
              <w:t>2 business days</w:t>
            </w:r>
          </w:p>
        </w:tc>
        <w:tc>
          <w:tcPr>
            <w:tcW w:type="dxa" w:w="2160"/>
          </w:tcPr>
          <w:p>
            <w:r>
              <w:t>4 hours</w:t>
            </w:r>
          </w:p>
        </w:tc>
        <w:tc>
          <w:tcPr>
            <w:tcW w:type="dxa" w:w="2160"/>
          </w:tcPr>
          <w:p>
            <w:r>
              <w:t>1 hour</w:t>
            </w:r>
          </w:p>
        </w:tc>
      </w:tr>
      <w:tr>
        <w:tc>
          <w:tcPr>
            <w:tcW w:type="dxa" w:w="2160"/>
          </w:tcPr>
          <w:p>
            <w:r>
              <w:t>P3 — Medium</w:t>
            </w:r>
          </w:p>
        </w:tc>
        <w:tc>
          <w:tcPr>
            <w:tcW w:type="dxa" w:w="2160"/>
          </w:tcPr>
          <w:p>
            <w:r>
              <w:t>3 business days</w:t>
            </w:r>
          </w:p>
        </w:tc>
        <w:tc>
          <w:tcPr>
            <w:tcW w:type="dxa" w:w="2160"/>
          </w:tcPr>
          <w:p>
            <w:r>
              <w:t>1 business day</w:t>
            </w:r>
          </w:p>
        </w:tc>
        <w:tc>
          <w:tcPr>
            <w:tcW w:type="dxa" w:w="2160"/>
          </w:tcPr>
          <w:p>
            <w:r>
              <w:t>4 hours</w:t>
            </w:r>
          </w:p>
        </w:tc>
      </w:tr>
      <w:tr>
        <w:tc>
          <w:tcPr>
            <w:tcW w:type="dxa" w:w="2160"/>
          </w:tcPr>
          <w:p>
            <w:r>
              <w:t>P4 — Low</w:t>
            </w:r>
          </w:p>
        </w:tc>
        <w:tc>
          <w:tcPr>
            <w:tcW w:type="dxa" w:w="2160"/>
          </w:tcPr>
          <w:p>
            <w:r>
              <w:t>Best effort</w:t>
            </w:r>
          </w:p>
        </w:tc>
        <w:tc>
          <w:tcPr>
            <w:tcW w:type="dxa" w:w="2160"/>
          </w:tcPr>
          <w:p>
            <w:r>
              <w:t>2 business days</w:t>
            </w:r>
          </w:p>
        </w:tc>
        <w:tc>
          <w:tcPr>
            <w:tcW w:type="dxa" w:w="2160"/>
          </w:tcPr>
          <w:p>
            <w:r>
              <w:t>1 business day</w:t>
            </w:r>
          </w:p>
        </w:tc>
      </w:tr>
    </w:tbl>
    <w:p>
      <w:pPr>
        <w:pStyle w:val="Heading2"/>
      </w:pPr>
      <w:r>
        <w:t>4.4 Target Resolution / Workaround Times</w:t>
      </w:r>
    </w:p>
    <w:p>
      <w:r>
        <w:t>“Resolution” means restoration of service or a reasonable workaround. Complex defects may be permanently fixed in a later release after an interim workaround is provided.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Severity</w:t>
            </w:r>
          </w:p>
        </w:tc>
        <w:tc>
          <w:tcPr>
            <w:tcW w:type="dxa" w:w="2160"/>
          </w:tcPr>
          <w:p>
            <w:r>
              <w:t>Basic</w:t>
            </w:r>
          </w:p>
        </w:tc>
        <w:tc>
          <w:tcPr>
            <w:tcW w:type="dxa" w:w="2160"/>
          </w:tcPr>
          <w:p>
            <w:r>
              <w:t>Standard</w:t>
            </w:r>
          </w:p>
        </w:tc>
        <w:tc>
          <w:tcPr>
            <w:tcW w:type="dxa" w:w="2160"/>
          </w:tcPr>
          <w:p>
            <w:r>
              <w:t>Premium</w:t>
            </w:r>
          </w:p>
        </w:tc>
      </w:tr>
      <w:tr>
        <w:tc>
          <w:tcPr>
            <w:tcW w:type="dxa" w:w="2160"/>
          </w:tcPr>
          <w:p>
            <w:r>
              <w:t>P1 — Critical</w:t>
            </w:r>
          </w:p>
        </w:tc>
        <w:tc>
          <w:tcPr>
            <w:tcW w:type="dxa" w:w="2160"/>
          </w:tcPr>
          <w:p>
            <w:r>
              <w:t>Best effort</w:t>
            </w:r>
          </w:p>
        </w:tc>
        <w:tc>
          <w:tcPr>
            <w:tcW w:type="dxa" w:w="2160"/>
          </w:tcPr>
          <w:p>
            <w:r>
              <w:t>8 business hours</w:t>
            </w:r>
          </w:p>
        </w:tc>
        <w:tc>
          <w:tcPr>
            <w:tcW w:type="dxa" w:w="2160"/>
          </w:tcPr>
          <w:p>
            <w:r>
              <w:t>4 hours</w:t>
            </w:r>
          </w:p>
        </w:tc>
      </w:tr>
      <w:tr>
        <w:tc>
          <w:tcPr>
            <w:tcW w:type="dxa" w:w="2160"/>
          </w:tcPr>
          <w:p>
            <w:r>
              <w:t>P2 — High</w:t>
            </w:r>
          </w:p>
        </w:tc>
        <w:tc>
          <w:tcPr>
            <w:tcW w:type="dxa" w:w="2160"/>
          </w:tcPr>
          <w:p>
            <w:r>
              <w:t>Best effort</w:t>
            </w:r>
          </w:p>
        </w:tc>
        <w:tc>
          <w:tcPr>
            <w:tcW w:type="dxa" w:w="2160"/>
          </w:tcPr>
          <w:p>
            <w:r>
              <w:t>2 business days</w:t>
            </w:r>
          </w:p>
        </w:tc>
        <w:tc>
          <w:tcPr>
            <w:tcW w:type="dxa" w:w="2160"/>
          </w:tcPr>
          <w:p>
            <w:r>
              <w:t>1 business day</w:t>
            </w:r>
          </w:p>
        </w:tc>
      </w:tr>
      <w:tr>
        <w:tc>
          <w:tcPr>
            <w:tcW w:type="dxa" w:w="2160"/>
          </w:tcPr>
          <w:p>
            <w:r>
              <w:t>P3 — Medium</w:t>
            </w:r>
          </w:p>
        </w:tc>
        <w:tc>
          <w:tcPr>
            <w:tcW w:type="dxa" w:w="2160"/>
          </w:tcPr>
          <w:p>
            <w:r>
              <w:t>Next release</w:t>
            </w:r>
          </w:p>
        </w:tc>
        <w:tc>
          <w:tcPr>
            <w:tcW w:type="dxa" w:w="2160"/>
          </w:tcPr>
          <w:p>
            <w:r>
              <w:t>5 business days</w:t>
            </w:r>
          </w:p>
        </w:tc>
        <w:tc>
          <w:tcPr>
            <w:tcW w:type="dxa" w:w="2160"/>
          </w:tcPr>
          <w:p>
            <w:r>
              <w:t>3 business days</w:t>
            </w:r>
          </w:p>
        </w:tc>
      </w:tr>
      <w:tr>
        <w:tc>
          <w:tcPr>
            <w:tcW w:type="dxa" w:w="2160"/>
          </w:tcPr>
          <w:p>
            <w:r>
              <w:t>P4 — Low</w:t>
            </w:r>
          </w:p>
        </w:tc>
        <w:tc>
          <w:tcPr>
            <w:tcW w:type="dxa" w:w="2160"/>
          </w:tcPr>
          <w:p>
            <w:r>
              <w:t>Backlog</w:t>
            </w:r>
          </w:p>
        </w:tc>
        <w:tc>
          <w:tcPr>
            <w:tcW w:type="dxa" w:w="2160"/>
          </w:tcPr>
          <w:p>
            <w:r>
              <w:t>Next release</w:t>
            </w:r>
          </w:p>
        </w:tc>
        <w:tc>
          <w:tcPr>
            <w:tcW w:type="dxa" w:w="2160"/>
          </w:tcPr>
          <w:p>
            <w:r>
              <w:t>Next release</w:t>
            </w:r>
          </w:p>
        </w:tc>
      </w:tr>
    </w:tbl>
    <w:p>
      <w:pPr>
        <w:pStyle w:val="Heading1"/>
      </w:pPr>
      <w:r>
        <w:t>5. Performance Targets</w:t>
      </w:r>
    </w:p>
    <w:p>
      <w:r>
        <w:t>For the Data Intelligence API and webhook delivery, AgroHub targets the following monthly levels, measured at the service edge and excluding client-side network latency.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Metric</w:t>
            </w:r>
          </w:p>
        </w:tc>
        <w:tc>
          <w:tcPr>
            <w:tcW w:type="dxa" w:w="2160"/>
          </w:tcPr>
          <w:p>
            <w:r>
              <w:t>Basic</w:t>
            </w:r>
          </w:p>
        </w:tc>
        <w:tc>
          <w:tcPr>
            <w:tcW w:type="dxa" w:w="2160"/>
          </w:tcPr>
          <w:p>
            <w:r>
              <w:t>Standard</w:t>
            </w:r>
          </w:p>
        </w:tc>
        <w:tc>
          <w:tcPr>
            <w:tcW w:type="dxa" w:w="2160"/>
          </w:tcPr>
          <w:p>
            <w:r>
              <w:t>Premium</w:t>
            </w:r>
          </w:p>
        </w:tc>
      </w:tr>
      <w:tr>
        <w:tc>
          <w:tcPr>
            <w:tcW w:type="dxa" w:w="2160"/>
          </w:tcPr>
          <w:p>
            <w:r>
              <w:t>API success rate</w:t>
            </w:r>
          </w:p>
        </w:tc>
        <w:tc>
          <w:tcPr>
            <w:tcW w:type="dxa" w:w="2160"/>
          </w:tcPr>
          <w:p>
            <w:r>
              <w:t>≥ 99.0%</w:t>
            </w:r>
          </w:p>
        </w:tc>
        <w:tc>
          <w:tcPr>
            <w:tcW w:type="dxa" w:w="2160"/>
          </w:tcPr>
          <w:p>
            <w:r>
              <w:t>≥ 99.9%</w:t>
            </w:r>
          </w:p>
        </w:tc>
        <w:tc>
          <w:tcPr>
            <w:tcW w:type="dxa" w:w="2160"/>
          </w:tcPr>
          <w:p>
            <w:r>
              <w:t>≥ 99.95%</w:t>
            </w:r>
          </w:p>
        </w:tc>
      </w:tr>
      <w:tr>
        <w:tc>
          <w:tcPr>
            <w:tcW w:type="dxa" w:w="2160"/>
          </w:tcPr>
          <w:p>
            <w:r>
              <w:t>API response time (P95)</w:t>
            </w:r>
          </w:p>
        </w:tc>
        <w:tc>
          <w:tcPr>
            <w:tcW w:type="dxa" w:w="2160"/>
          </w:tcPr>
          <w:p>
            <w:r>
              <w:t>&lt; 800 ms</w:t>
            </w:r>
          </w:p>
        </w:tc>
        <w:tc>
          <w:tcPr>
            <w:tcW w:type="dxa" w:w="2160"/>
          </w:tcPr>
          <w:p>
            <w:r>
              <w:t>&lt; 500 ms</w:t>
            </w:r>
          </w:p>
        </w:tc>
        <w:tc>
          <w:tcPr>
            <w:tcW w:type="dxa" w:w="2160"/>
          </w:tcPr>
          <w:p>
            <w:r>
              <w:t>&lt; 300 ms</w:t>
            </w:r>
          </w:p>
        </w:tc>
      </w:tr>
      <w:tr>
        <w:tc>
          <w:tcPr>
            <w:tcW w:type="dxa" w:w="2160"/>
          </w:tcPr>
          <w:p>
            <w:r>
              <w:t>Webhook delivery (P95)</w:t>
            </w:r>
          </w:p>
        </w:tc>
        <w:tc>
          <w:tcPr>
            <w:tcW w:type="dxa" w:w="2160"/>
          </w:tcPr>
          <w:p>
            <w:r>
              <w:t>&lt; 5 min</w:t>
            </w:r>
          </w:p>
        </w:tc>
        <w:tc>
          <w:tcPr>
            <w:tcW w:type="dxa" w:w="2160"/>
          </w:tcPr>
          <w:p>
            <w:r>
              <w:t>&lt; 60 sec</w:t>
            </w:r>
          </w:p>
        </w:tc>
        <w:tc>
          <w:tcPr>
            <w:tcW w:type="dxa" w:w="2160"/>
          </w:tcPr>
          <w:p>
            <w:r>
              <w:t>&lt; 30 sec</w:t>
            </w:r>
          </w:p>
        </w:tc>
      </w:tr>
    </w:tbl>
    <w:p>
      <w:pPr>
        <w:pStyle w:val="Heading1"/>
      </w:pPr>
      <w:r>
        <w:t>6. Escalation Path</w:t>
      </w:r>
    </w:p>
    <w:p>
      <w:r>
        <w:t>If a ticket is not progressing within the target times, consumers may escalate as follows:</w:t>
      </w:r>
    </w:p>
    <w:p>
      <w:pPr>
        <w:pStyle w:val="ListBullet"/>
      </w:pPr>
      <w:r>
        <w:t>Level 1 — Support engineer (ticket owner).</w:t>
      </w:r>
    </w:p>
    <w:p>
      <w:pPr>
        <w:pStyle w:val="ListBullet"/>
      </w:pPr>
      <w:r>
        <w:t>Level 2 — On-call / platform lead (P1 / P2).</w:t>
      </w:r>
    </w:p>
    <w:p>
      <w:pPr>
        <w:pStyle w:val="ListBullet"/>
      </w:pPr>
      <w:r>
        <w:t>Level 3 — Engineering Manager and Incident Commander.</w:t>
      </w:r>
    </w:p>
    <w:p>
      <w:pPr>
        <w:pStyle w:val="ListBullet"/>
      </w:pPr>
      <w:r>
        <w:t>Level 4 — Chief Technology Officer and, for Premium, the named account contact.</w:t>
      </w:r>
    </w:p>
    <w:p>
      <w:r>
        <w:t>For P1 incidents on Premium accounts, AgroHub opens a major-incident bridge and provides updates at least every 30 minutes until service is restored.</w:t>
      </w:r>
    </w:p>
    <w:p>
      <w:pPr>
        <w:pStyle w:val="Heading1"/>
      </w:pPr>
      <w:r>
        <w:t>7. Scheduled Maintenance</w:t>
      </w:r>
    </w:p>
    <w:p>
      <w:pPr>
        <w:pStyle w:val="ListBullet"/>
      </w:pPr>
      <w:r>
        <w:t>Routine maintenance is performed within a published weekly window, announced at least 48 hours ahead (Standard) or 5 business days ahead (Premium).</w:t>
      </w:r>
    </w:p>
    <w:p>
      <w:pPr>
        <w:pStyle w:val="ListBullet"/>
      </w:pPr>
      <w:r>
        <w:t>Emergency maintenance to address security or stability risks may proceed with shorter notice; AgroHub gives as much notice as practical.</w:t>
      </w:r>
    </w:p>
    <w:p>
      <w:pPr>
        <w:pStyle w:val="ListBullet"/>
      </w:pPr>
      <w:r>
        <w:t>Windows are designed to avoid peak trade periods and, where possible, are zero-downtime. Announced maintenance does not count against the availability commitment.</w:t>
      </w:r>
    </w:p>
    <w:p>
      <w:pPr>
        <w:pStyle w:val="Heading1"/>
      </w:pPr>
      <w:r>
        <w:t>8. Exclusions</w:t>
      </w:r>
    </w:p>
    <w:p>
      <w:r>
        <w:t>The availability and performance commitments do not apply to unavailability or degradation caused by:</w:t>
      </w:r>
    </w:p>
    <w:p>
      <w:pPr>
        <w:pStyle w:val="ListBullet"/>
      </w:pPr>
      <w:r>
        <w:t>Scheduled or announced emergency maintenance.</w:t>
      </w:r>
    </w:p>
    <w:p>
      <w:pPr>
        <w:pStyle w:val="ListBullet"/>
      </w:pPr>
      <w:r>
        <w:t>Third-party partner outages on the critical path (e.g. a gated logistics or data provider), governed by that partner’s own SLA.</w:t>
      </w:r>
    </w:p>
    <w:p>
      <w:pPr>
        <w:pStyle w:val="ListBullet"/>
      </w:pPr>
      <w:r>
        <w:t>Factors outside AgroHub’s reasonable control, including force majeure and upstream network or cloud-provider outages.</w:t>
      </w:r>
    </w:p>
    <w:p>
      <w:pPr>
        <w:pStyle w:val="ListBullet"/>
      </w:pPr>
      <w:r>
        <w:t>The consumer’s equipment, software, configuration, or integrations not provided by AgroHub.</w:t>
      </w:r>
    </w:p>
    <w:p>
      <w:pPr>
        <w:pStyle w:val="ListBullet"/>
      </w:pPr>
      <w:r>
        <w:t>Use exceeding documented rate limits or in breach of the Integration Policy or acceptable-use terms.</w:t>
      </w:r>
    </w:p>
    <w:p>
      <w:pPr>
        <w:pStyle w:val="ListBullet"/>
      </w:pPr>
      <w:r>
        <w:t>Beta, trial, preview, or sandbox features, which are provided “as is.”</w:t>
      </w:r>
    </w:p>
    <w:p>
      <w:pPr>
        <w:pStyle w:val="Heading1"/>
      </w:pPr>
      <w:r>
        <w:t>9. Service Credits</w:t>
      </w:r>
    </w:p>
    <w:p>
      <w:r>
        <w:t>If AgroHub fails to meet the monthly availability commitment for a Standard or Premium service, the consumer may request a service credit as a percentage of that service’s monthly fee. Basic-tier services are not credit-bearing.</w:t>
      </w:r>
    </w:p>
    <w:p>
      <w:pPr>
        <w:pStyle w:val="Heading2"/>
      </w:pPr>
      <w:r>
        <w:t>9.1 Standard Tier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Monthly Uptime</w:t>
            </w:r>
          </w:p>
        </w:tc>
        <w:tc>
          <w:tcPr>
            <w:tcW w:type="dxa" w:w="4320"/>
          </w:tcPr>
          <w:p>
            <w:r>
              <w:t>Service Credit</w:t>
            </w:r>
          </w:p>
        </w:tc>
      </w:tr>
      <w:tr>
        <w:tc>
          <w:tcPr>
            <w:tcW w:type="dxa" w:w="4320"/>
          </w:tcPr>
          <w:p>
            <w:r>
              <w:t>&lt; 99.9% and ≥ 99.0%</w:t>
            </w:r>
          </w:p>
        </w:tc>
        <w:tc>
          <w:tcPr>
            <w:tcW w:type="dxa" w:w="4320"/>
          </w:tcPr>
          <w:p>
            <w:r>
              <w:t>10% of monthly fee</w:t>
            </w:r>
          </w:p>
        </w:tc>
      </w:tr>
      <w:tr>
        <w:tc>
          <w:tcPr>
            <w:tcW w:type="dxa" w:w="4320"/>
          </w:tcPr>
          <w:p>
            <w:r>
              <w:t>&lt; 99.0% and ≥ 95.0%</w:t>
            </w:r>
          </w:p>
        </w:tc>
        <w:tc>
          <w:tcPr>
            <w:tcW w:type="dxa" w:w="4320"/>
          </w:tcPr>
          <w:p>
            <w:r>
              <w:t>25% of monthly fee</w:t>
            </w:r>
          </w:p>
        </w:tc>
      </w:tr>
      <w:tr>
        <w:tc>
          <w:tcPr>
            <w:tcW w:type="dxa" w:w="4320"/>
          </w:tcPr>
          <w:p>
            <w:r>
              <w:t>&lt; 95.0%</w:t>
            </w:r>
          </w:p>
        </w:tc>
        <w:tc>
          <w:tcPr>
            <w:tcW w:type="dxa" w:w="4320"/>
          </w:tcPr>
          <w:p>
            <w:r>
              <w:t>50% of monthly fee</w:t>
            </w:r>
          </w:p>
        </w:tc>
      </w:tr>
    </w:tbl>
    <w:p>
      <w:pPr>
        <w:pStyle w:val="Heading2"/>
      </w:pPr>
      <w:r>
        <w:t>9.2 Premium Tier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Monthly Uptime</w:t>
            </w:r>
          </w:p>
        </w:tc>
        <w:tc>
          <w:tcPr>
            <w:tcW w:type="dxa" w:w="4320"/>
          </w:tcPr>
          <w:p>
            <w:r>
              <w:t>Service Credit</w:t>
            </w:r>
          </w:p>
        </w:tc>
      </w:tr>
      <w:tr>
        <w:tc>
          <w:tcPr>
            <w:tcW w:type="dxa" w:w="4320"/>
          </w:tcPr>
          <w:p>
            <w:r>
              <w:t>&lt; 99.99% and ≥ 99.9%</w:t>
            </w:r>
          </w:p>
        </w:tc>
        <w:tc>
          <w:tcPr>
            <w:tcW w:type="dxa" w:w="4320"/>
          </w:tcPr>
          <w:p>
            <w:r>
              <w:t>10% of monthly fee</w:t>
            </w:r>
          </w:p>
        </w:tc>
      </w:tr>
      <w:tr>
        <w:tc>
          <w:tcPr>
            <w:tcW w:type="dxa" w:w="4320"/>
          </w:tcPr>
          <w:p>
            <w:r>
              <w:t>&lt; 99.9% and ≥ 99.0%</w:t>
            </w:r>
          </w:p>
        </w:tc>
        <w:tc>
          <w:tcPr>
            <w:tcW w:type="dxa" w:w="4320"/>
          </w:tcPr>
          <w:p>
            <w:r>
              <w:t>25% of monthly fee</w:t>
            </w:r>
          </w:p>
        </w:tc>
      </w:tr>
      <w:tr>
        <w:tc>
          <w:tcPr>
            <w:tcW w:type="dxa" w:w="4320"/>
          </w:tcPr>
          <w:p>
            <w:r>
              <w:t>&lt; 99.0%</w:t>
            </w:r>
          </w:p>
        </w:tc>
        <w:tc>
          <w:tcPr>
            <w:tcW w:type="dxa" w:w="4320"/>
          </w:tcPr>
          <w:p>
            <w:r>
              <w:t>50% of monthly fee</w:t>
            </w:r>
          </w:p>
        </w:tc>
      </w:tr>
    </w:tbl>
    <w:p>
      <w:pPr>
        <w:pStyle w:val="Heading2"/>
      </w:pPr>
      <w:r>
        <w:t>9.3 Claim Process</w:t>
      </w:r>
    </w:p>
    <w:p>
      <w:r>
        <w:t>To receive a credit, the consumer must submit a request through the support portal within 30 days of the end of the affected month, with dates, times, and supporting logs. Credits are applied to a future invoice, are the consumer’s sole and exclusive remedy for missed availability, and may not exceed 50% of the affected service’s fee for that month.</w:t>
      </w:r>
    </w:p>
    <w:p>
      <w:pPr>
        <w:pStyle w:val="Heading1"/>
      </w:pPr>
      <w:r>
        <w:t>10. Consumer Responsibilities</w:t>
      </w:r>
    </w:p>
    <w:p>
      <w:r>
        <w:t>To be eligible for these commitments, the consumer agrees to:</w:t>
      </w:r>
    </w:p>
    <w:p>
      <w:pPr>
        <w:pStyle w:val="ListBullet"/>
      </w:pPr>
      <w:r>
        <w:t>Use supported API versions, SDKs, and integration patterns.</w:t>
      </w:r>
    </w:p>
    <w:p>
      <w:pPr>
        <w:pStyle w:val="ListBullet"/>
      </w:pPr>
      <w:r>
        <w:t>Stay within documented rate limits and follow the Integration Policy.</w:t>
      </w:r>
    </w:p>
    <w:p>
      <w:pPr>
        <w:pStyle w:val="ListBullet"/>
      </w:pPr>
      <w:r>
        <w:t>Verify webhook signatures and handle retries idempotently.</w:t>
      </w:r>
    </w:p>
    <w:p>
      <w:pPr>
        <w:pStyle w:val="ListBullet"/>
      </w:pPr>
      <w:r>
        <w:t>Maintain accurate contact and escalation details.</w:t>
      </w:r>
    </w:p>
    <w:p>
      <w:pPr>
        <w:pStyle w:val="ListBullet"/>
      </w:pPr>
      <w:r>
        <w:t>Keep credentials secure and rotate them as required.</w:t>
      </w:r>
    </w:p>
    <w:p>
      <w:pPr>
        <w:pStyle w:val="Heading1"/>
      </w:pPr>
      <w:r>
        <w:t>11. Reporting and Reviews</w:t>
      </w:r>
    </w:p>
    <w:p>
      <w:r>
        <w:t>AgroHub publishes a status page for covered services. Standard and Premium consumers receive a monthly availability report. Premium consumers additionally receive a quarterly service review covering performance against this SLA, incident and gate-reliability trends, and upcoming changes.</w:t>
      </w:r>
    </w:p>
    <w:p>
      <w:pPr>
        <w:pStyle w:val="Heading1"/>
      </w:pPr>
      <w:r>
        <w:t>12. Definitions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Term</w:t>
            </w:r>
          </w:p>
        </w:tc>
        <w:tc>
          <w:tcPr>
            <w:tcW w:type="dxa" w:w="4320"/>
          </w:tcPr>
          <w:p>
            <w:r>
              <w:t>Definition</w:t>
            </w:r>
          </w:p>
        </w:tc>
      </w:tr>
      <w:tr>
        <w:tc>
          <w:tcPr>
            <w:tcW w:type="dxa" w:w="4320"/>
          </w:tcPr>
          <w:p>
            <w:r>
              <w:t>Covered Service</w:t>
            </w:r>
          </w:p>
        </w:tc>
        <w:tc>
          <w:tcPr>
            <w:tcW w:type="dxa" w:w="4320"/>
          </w:tcPr>
          <w:p>
            <w:r>
              <w:t>The AgroHub platform, Data Intelligence API, or webhook/event delivery assigned to a tier.</w:t>
            </w:r>
          </w:p>
        </w:tc>
      </w:tr>
      <w:tr>
        <w:tc>
          <w:tcPr>
            <w:tcW w:type="dxa" w:w="4320"/>
          </w:tcPr>
          <w:p>
            <w:r>
              <w:t>Downtime</w:t>
            </w:r>
          </w:p>
        </w:tc>
        <w:tc>
          <w:tcPr>
            <w:tcW w:type="dxa" w:w="4320"/>
          </w:tcPr>
          <w:p>
            <w:r>
              <w:t>A period in which a covered service is unavailable or fails all authenticated requests.</w:t>
            </w:r>
          </w:p>
        </w:tc>
      </w:tr>
      <w:tr>
        <w:tc>
          <w:tcPr>
            <w:tcW w:type="dxa" w:w="4320"/>
          </w:tcPr>
          <w:p>
            <w:r>
              <w:t>Response Time</w:t>
            </w:r>
          </w:p>
        </w:tc>
        <w:tc>
          <w:tcPr>
            <w:tcW w:type="dxa" w:w="4320"/>
          </w:tcPr>
          <w:p>
            <w:r>
              <w:t>Time from a valid ticket to a substantive engineer acknowledgement.</w:t>
            </w:r>
          </w:p>
        </w:tc>
      </w:tr>
      <w:tr>
        <w:tc>
          <w:tcPr>
            <w:tcW w:type="dxa" w:w="4320"/>
          </w:tcPr>
          <w:p>
            <w:r>
              <w:t>Resolution Time</w:t>
            </w:r>
          </w:p>
        </w:tc>
        <w:tc>
          <w:tcPr>
            <w:tcW w:type="dxa" w:w="4320"/>
          </w:tcPr>
          <w:p>
            <w:r>
              <w:t>Time to restore service or provide a reasonable workaround.</w:t>
            </w:r>
          </w:p>
        </w:tc>
      </w:tr>
      <w:tr>
        <w:tc>
          <w:tcPr>
            <w:tcW w:type="dxa" w:w="4320"/>
          </w:tcPr>
          <w:p>
            <w:r>
              <w:t>Service Credit</w:t>
            </w:r>
          </w:p>
        </w:tc>
        <w:tc>
          <w:tcPr>
            <w:tcW w:type="dxa" w:w="4320"/>
          </w:tcPr>
          <w:p>
            <w:r>
              <w:t>A credit against future fees for a missed availability commitment.</w:t>
            </w:r>
          </w:p>
        </w:tc>
      </w:tr>
      <w:tr>
        <w:tc>
          <w:tcPr>
            <w:tcW w:type="dxa" w:w="4320"/>
          </w:tcPr>
          <w:p>
            <w:r>
              <w:t>Scheduled Maintenance</w:t>
            </w:r>
          </w:p>
        </w:tc>
        <w:tc>
          <w:tcPr>
            <w:tcW w:type="dxa" w:w="4320"/>
          </w:tcPr>
          <w:p>
            <w:r>
              <w:t>Planned work performed within an announced window.</w:t>
            </w:r>
          </w:p>
        </w:tc>
      </w:tr>
    </w:tbl>
    <w:p>
      <w:pPr>
        <w:pStyle w:val="Heading1"/>
      </w:pPr>
      <w:r>
        <w:t>13. Term, Review, and Revision History</w:t>
      </w:r>
    </w:p>
    <w:p>
      <w:r>
        <w:t>This SLA is effective on the date stated and remains in force for the duration of the applicable agreement. It is reviewed at least annually; material changes are communicated to affected consumers with at least 30 days’ notice.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Version</w:t>
            </w:r>
          </w:p>
        </w:tc>
        <w:tc>
          <w:tcPr>
            <w:tcW w:type="dxa" w:w="2160"/>
          </w:tcPr>
          <w:p>
            <w:r>
              <w:t>Date</w:t>
            </w:r>
          </w:p>
        </w:tc>
        <w:tc>
          <w:tcPr>
            <w:tcW w:type="dxa" w:w="2160"/>
          </w:tcPr>
          <w:p>
            <w:r>
              <w:t>Author</w:t>
            </w:r>
          </w:p>
        </w:tc>
        <w:tc>
          <w:tcPr>
            <w:tcW w:type="dxa" w:w="2160"/>
          </w:tcPr>
          <w:p>
            <w:r>
              <w:t>Summary</w:t>
            </w:r>
          </w:p>
        </w:tc>
      </w:tr>
      <w:tr>
        <w:tc>
          <w:tcPr>
            <w:tcW w:type="dxa" w:w="2160"/>
          </w:tcPr>
          <w:p>
            <w:r>
              <w:t>1.0</w:t>
            </w:r>
          </w:p>
        </w:tc>
        <w:tc>
          <w:tcPr>
            <w:tcW w:type="dxa" w:w="2160"/>
          </w:tcPr>
          <w:p>
            <w:r>
              <w:t>26 June 2026</w:t>
            </w:r>
          </w:p>
        </w:tc>
        <w:tc>
          <w:tcPr>
            <w:tcW w:type="dxa" w:w="2160"/>
          </w:tcPr>
          <w:p>
            <w:r>
              <w:t>Chief Technology Officer</w:t>
            </w:r>
          </w:p>
        </w:tc>
        <w:tc>
          <w:tcPr>
            <w:tcW w:type="dxa" w:w="2160"/>
          </w:tcPr>
          <w:p>
            <w:r>
              <w:t>Initial issued version with Basic, Standard, and Premium tiers.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